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9C246C" w14:textId="77777777" w:rsidR="00746891" w:rsidRPr="00A328CE" w:rsidRDefault="00EE680E" w:rsidP="00746891">
      <w:pPr>
        <w:pStyle w:val="a3"/>
        <w:rPr>
          <w:lang w:val="kk-KZ"/>
        </w:rPr>
      </w:pPr>
      <w:bookmarkStart w:id="0" w:name="_GoBack"/>
      <w:bookmarkEnd w:id="0"/>
      <w:r w:rsidRPr="00EE680E">
        <w:rPr>
          <w:b/>
          <w:bCs/>
          <w:lang w:val="kk-KZ"/>
        </w:rPr>
        <w:t xml:space="preserve">ПС 3. </w:t>
      </w:r>
      <w:r w:rsidR="00746891" w:rsidRPr="00A328CE">
        <w:rPr>
          <w:lang w:val="kk-KZ"/>
        </w:rPr>
        <w:t>Буферлі ерітінділерінің рН-ын есептеу. Көпнегізді қышқылдар мен негіздердің рН_ын есептеу</w:t>
      </w:r>
    </w:p>
    <w:p w14:paraId="6721B909" w14:textId="5B05684D" w:rsidR="00EE680E" w:rsidRDefault="00EE680E" w:rsidP="00EE680E">
      <w:pPr>
        <w:pStyle w:val="a3"/>
        <w:rPr>
          <w:b/>
          <w:bCs/>
          <w:lang w:val="kk-KZ"/>
        </w:rPr>
      </w:pPr>
    </w:p>
    <w:p w14:paraId="7F54E72D" w14:textId="77777777" w:rsidR="00746891" w:rsidRPr="00DA5C68" w:rsidRDefault="00746891" w:rsidP="00746891">
      <w:pPr>
        <w:jc w:val="both"/>
        <w:rPr>
          <w:sz w:val="24"/>
          <w:szCs w:val="24"/>
        </w:rPr>
      </w:pPr>
      <w:r w:rsidRPr="00DA5C68">
        <w:rPr>
          <w:b/>
          <w:bCs/>
          <w:sz w:val="24"/>
          <w:szCs w:val="24"/>
          <w:lang w:val="kk-KZ"/>
        </w:rPr>
        <w:t>Буфер ерітінділерінің рН есептеу</w:t>
      </w:r>
    </w:p>
    <w:p w14:paraId="77359FCE" w14:textId="77777777" w:rsidR="00746891" w:rsidRPr="00DA5C68" w:rsidRDefault="00746891" w:rsidP="00746891">
      <w:pPr>
        <w:jc w:val="both"/>
        <w:rPr>
          <w:sz w:val="24"/>
          <w:szCs w:val="24"/>
        </w:rPr>
      </w:pPr>
      <w:r w:rsidRPr="00DA5C68">
        <w:rPr>
          <w:sz w:val="24"/>
          <w:szCs w:val="24"/>
          <w:lang w:val="kk-KZ"/>
        </w:rPr>
        <w:t>Буфер ерітінділері - әдетте құрамында әлсіз негіз және оның тұздары бар, (мысалы, CH</w:t>
      </w:r>
      <w:r w:rsidRPr="00DA5C68">
        <w:rPr>
          <w:sz w:val="24"/>
          <w:szCs w:val="24"/>
          <w:vertAlign w:val="subscript"/>
          <w:lang w:val="kk-KZ"/>
        </w:rPr>
        <w:t>3</w:t>
      </w:r>
      <w:r w:rsidRPr="00DA5C68">
        <w:rPr>
          <w:sz w:val="24"/>
          <w:szCs w:val="24"/>
          <w:lang w:val="kk-KZ"/>
        </w:rPr>
        <w:t>COOH+CH</w:t>
      </w:r>
      <w:r w:rsidRPr="00DA5C68">
        <w:rPr>
          <w:sz w:val="24"/>
          <w:szCs w:val="24"/>
          <w:vertAlign w:val="subscript"/>
          <w:lang w:val="kk-KZ"/>
        </w:rPr>
        <w:t>3</w:t>
      </w:r>
      <w:r w:rsidRPr="00DA5C68">
        <w:rPr>
          <w:sz w:val="24"/>
          <w:szCs w:val="24"/>
          <w:lang w:val="kk-KZ"/>
        </w:rPr>
        <w:t>COONa) немесе әлсіз негіз және оның тұздары бар қоспа. Мысалы, NH</w:t>
      </w:r>
      <w:r w:rsidRPr="00DA5C68">
        <w:rPr>
          <w:sz w:val="24"/>
          <w:szCs w:val="24"/>
          <w:vertAlign w:val="subscript"/>
          <w:lang w:val="kk-KZ"/>
        </w:rPr>
        <w:t>4</w:t>
      </w:r>
      <w:r w:rsidRPr="00DA5C68">
        <w:rPr>
          <w:sz w:val="24"/>
          <w:szCs w:val="24"/>
          <w:lang w:val="kk-KZ"/>
        </w:rPr>
        <w:t>OH+NH</w:t>
      </w:r>
      <w:r w:rsidRPr="00DA5C68">
        <w:rPr>
          <w:sz w:val="24"/>
          <w:szCs w:val="24"/>
          <w:vertAlign w:val="subscript"/>
          <w:lang w:val="kk-KZ"/>
        </w:rPr>
        <w:t>4</w:t>
      </w:r>
      <w:r w:rsidRPr="00DA5C68">
        <w:rPr>
          <w:sz w:val="24"/>
          <w:szCs w:val="24"/>
          <w:lang w:val="kk-KZ"/>
        </w:rPr>
        <w:t>Cl сутек иондарының белгілі концентрациясында. Буфер ерітінділерінің рН мәндері – аз мөлшерде күшті қышқыл немесе сілті қосқаннан және ерітіндіні сұйылтқаннан өзгермейді, ол орта шарттары өзгермейтін жағдайда химиялық процесстер жүргізуге мүмкіндік береді. Буфер ерітіндіге күшті қышқылдың аз мөлшерін қосқанда, күшті қышқылдың сутек иондары әлсіз қышқыл молекулаларымен байланысады, сондықтан бұл ерітіндінің қышқылдығы бірден жоғарыламайды. Егер буфер ерітіндіге аз мөлшерде сілті қосса, онда оның гидроксил иондары әлсіз қышқылдың сутек иондарымен су молекуласына байланысады. Тәжірибеде буферлік ерітінділер сумен сұйылтса да өз қышқылдығын өзгертпейді. Ол, былай түсіндіріледі: әлсіз қышқылдың диссоциация дәрежесі сұйылтқанда көбейеді және сутек иондарының концентрациясы іс жүзінде тұрақты болып қалады.</w:t>
      </w:r>
    </w:p>
    <w:p w14:paraId="5F40A8C8" w14:textId="77777777" w:rsidR="00746891" w:rsidRPr="00DA5C68" w:rsidRDefault="00746891" w:rsidP="00746891">
      <w:pPr>
        <w:jc w:val="both"/>
        <w:rPr>
          <w:sz w:val="24"/>
          <w:szCs w:val="24"/>
        </w:rPr>
      </w:pPr>
      <w:r w:rsidRPr="00DA5C68">
        <w:rPr>
          <w:sz w:val="24"/>
          <w:szCs w:val="24"/>
          <w:lang w:val="kk-KZ"/>
        </w:rPr>
        <w:t>Буфер ерітінділер химия тәжірибесінде кеңінен қолданылады, ол түрлі организмдердің өмір сүру процесінде маңызды роль атқарады. Көптеген өмір сүру процестер тек рН-тың белгілі мәнінде ғана жүреді. Тірі ағзада рН тұрақтылығы табиғи буферлік қоспалармен ұсталады (мысалы, адам ағзасында фосфаттық буферлік қоспалар NaH</w:t>
      </w:r>
      <w:r w:rsidRPr="00DA5C68">
        <w:rPr>
          <w:sz w:val="24"/>
          <w:szCs w:val="24"/>
          <w:vertAlign w:val="subscript"/>
          <w:lang w:val="kk-KZ"/>
        </w:rPr>
        <w:t>2</w:t>
      </w:r>
      <w:r w:rsidRPr="00DA5C68">
        <w:rPr>
          <w:sz w:val="24"/>
          <w:szCs w:val="24"/>
          <w:lang w:val="kk-KZ"/>
        </w:rPr>
        <w:t>PO</w:t>
      </w:r>
      <w:r w:rsidRPr="00DA5C68">
        <w:rPr>
          <w:sz w:val="24"/>
          <w:szCs w:val="24"/>
          <w:vertAlign w:val="subscript"/>
          <w:lang w:val="kk-KZ"/>
        </w:rPr>
        <w:t>4</w:t>
      </w:r>
      <w:r w:rsidRPr="00DA5C68">
        <w:rPr>
          <w:sz w:val="24"/>
          <w:szCs w:val="24"/>
          <w:lang w:val="kk-KZ"/>
        </w:rPr>
        <w:t xml:space="preserve"> + Na</w:t>
      </w:r>
      <w:r w:rsidRPr="00DA5C68">
        <w:rPr>
          <w:sz w:val="24"/>
          <w:szCs w:val="24"/>
          <w:vertAlign w:val="subscript"/>
          <w:lang w:val="kk-KZ"/>
        </w:rPr>
        <w:t>2</w:t>
      </w:r>
      <w:r w:rsidRPr="00DA5C68">
        <w:rPr>
          <w:sz w:val="24"/>
          <w:szCs w:val="24"/>
          <w:lang w:val="kk-KZ"/>
        </w:rPr>
        <w:t>HPO</w:t>
      </w:r>
      <w:r w:rsidRPr="00DA5C68">
        <w:rPr>
          <w:sz w:val="24"/>
          <w:szCs w:val="24"/>
          <w:vertAlign w:val="subscript"/>
          <w:lang w:val="kk-KZ"/>
        </w:rPr>
        <w:t>4</w:t>
      </w:r>
      <w:r w:rsidRPr="00DA5C68">
        <w:rPr>
          <w:sz w:val="24"/>
          <w:szCs w:val="24"/>
          <w:lang w:val="kk-KZ"/>
        </w:rPr>
        <w:t>, карбонатты буферлік қоспа   H</w:t>
      </w:r>
      <w:r w:rsidRPr="00DA5C68">
        <w:rPr>
          <w:sz w:val="24"/>
          <w:szCs w:val="24"/>
          <w:vertAlign w:val="subscript"/>
          <w:lang w:val="kk-KZ"/>
        </w:rPr>
        <w:t>2</w:t>
      </w:r>
      <w:r w:rsidRPr="00DA5C68">
        <w:rPr>
          <w:sz w:val="24"/>
          <w:szCs w:val="24"/>
          <w:lang w:val="kk-KZ"/>
        </w:rPr>
        <w:t>CO</w:t>
      </w:r>
      <w:r w:rsidRPr="00DA5C68">
        <w:rPr>
          <w:sz w:val="24"/>
          <w:szCs w:val="24"/>
          <w:vertAlign w:val="subscript"/>
          <w:lang w:val="kk-KZ"/>
        </w:rPr>
        <w:t>3</w:t>
      </w:r>
      <w:r w:rsidRPr="00DA5C68">
        <w:rPr>
          <w:sz w:val="24"/>
          <w:szCs w:val="24"/>
          <w:lang w:val="kk-KZ"/>
        </w:rPr>
        <w:t xml:space="preserve"> + NaHCO</w:t>
      </w:r>
      <w:r w:rsidRPr="00DA5C68">
        <w:rPr>
          <w:sz w:val="24"/>
          <w:szCs w:val="24"/>
          <w:vertAlign w:val="subscript"/>
          <w:lang w:val="kk-KZ"/>
        </w:rPr>
        <w:t>3</w:t>
      </w:r>
      <w:r w:rsidRPr="00DA5C68">
        <w:rPr>
          <w:sz w:val="24"/>
          <w:szCs w:val="24"/>
          <w:lang w:val="kk-KZ"/>
        </w:rPr>
        <w:t xml:space="preserve"> бар). Буфер қоспалар аналитикалық химияда және өндірісте кеңінен қолданылады: сапалық таңдаудың жүйелік әдістерінде аналитикалық топтарды бөлгенде, бөлек иондарды тапқанда және шығарғанда, сирек элементтерді бөлгенде, шикізатты флотациямен байытқанда және т.б.</w:t>
      </w:r>
    </w:p>
    <w:p w14:paraId="4E97DFBD" w14:textId="77777777" w:rsidR="00746891" w:rsidRPr="00DA5C68" w:rsidRDefault="00746891" w:rsidP="00746891">
      <w:pPr>
        <w:jc w:val="both"/>
        <w:rPr>
          <w:sz w:val="24"/>
          <w:szCs w:val="24"/>
        </w:rPr>
      </w:pPr>
      <w:r w:rsidRPr="00DA5C68">
        <w:rPr>
          <w:sz w:val="24"/>
          <w:szCs w:val="24"/>
          <w:lang w:val="kk-KZ"/>
        </w:rPr>
        <w:t>Буферлік қоспадан түзілетін рН көлемін теориялық есептейді.</w:t>
      </w:r>
    </w:p>
    <w:p w14:paraId="336F42C2" w14:textId="77777777" w:rsidR="00746891" w:rsidRPr="00BD042B" w:rsidRDefault="00746891" w:rsidP="00746891">
      <w:pPr>
        <w:jc w:val="both"/>
        <w:rPr>
          <w:sz w:val="24"/>
          <w:szCs w:val="24"/>
        </w:rPr>
      </w:pPr>
      <w:r w:rsidRPr="00BD042B">
        <w:rPr>
          <w:noProof/>
          <w:sz w:val="24"/>
          <w:szCs w:val="24"/>
          <w:lang w:eastAsia="ru-RU"/>
        </w:rPr>
        <w:drawing>
          <wp:inline distT="0" distB="0" distL="0" distR="0" wp14:anchorId="33E1FD55" wp14:editId="7FC07C58">
            <wp:extent cx="1339850" cy="334963"/>
            <wp:effectExtent l="0" t="0" r="0" b="8255"/>
            <wp:docPr id="4" name="Рисунок 3">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1D93A7F1-3174-4BA9-90A8-92D0B4FCFE6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3">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1D93A7F1-3174-4BA9-90A8-92D0B4FCFE68}"/>
                        </a:ext>
                      </a:extLst>
                    </pic:cNvPr>
                    <pic:cNvPicPr>
                      <a:picLocks noChangeAspect="1"/>
                    </pic:cNvPicPr>
                  </pic:nvPicPr>
                  <pic:blipFill>
                    <a:blip r:embed="rId5"/>
                    <a:stretch>
                      <a:fillRect/>
                    </a:stretch>
                  </pic:blipFill>
                  <pic:spPr>
                    <a:xfrm>
                      <a:off x="0" y="0"/>
                      <a:ext cx="1361382" cy="340346"/>
                    </a:xfrm>
                    <a:prstGeom prst="rect">
                      <a:avLst/>
                    </a:prstGeom>
                  </pic:spPr>
                </pic:pic>
              </a:graphicData>
            </a:graphic>
          </wp:inline>
        </w:drawing>
      </w:r>
      <w:r w:rsidRPr="00BD042B">
        <w:rPr>
          <w:sz w:val="24"/>
          <w:szCs w:val="24"/>
        </w:rPr>
        <w:t xml:space="preserve"> </w:t>
      </w:r>
    </w:p>
    <w:p w14:paraId="4E60D1EF" w14:textId="77777777" w:rsidR="00746891" w:rsidRPr="00BD042B" w:rsidRDefault="00746891" w:rsidP="00746891">
      <w:pPr>
        <w:jc w:val="both"/>
        <w:rPr>
          <w:sz w:val="24"/>
          <w:szCs w:val="24"/>
        </w:rPr>
      </w:pPr>
      <w:r w:rsidRPr="00BD042B">
        <w:rPr>
          <w:sz w:val="24"/>
          <w:szCs w:val="24"/>
        </w:rPr>
        <w:object w:dxaOrig="4897" w:dyaOrig="1709" w14:anchorId="208F67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25pt;height:30pt" o:ole="">
            <v:imagedata r:id="rId6" o:title=""/>
          </v:shape>
          <o:OLEObject Type="Embed" ProgID="Equation.3" ShapeID="_x0000_i1025" DrawAspect="Content" ObjectID="_1718284321" r:id="rId7"/>
        </w:object>
      </w:r>
    </w:p>
    <w:p w14:paraId="7362A645" w14:textId="77777777" w:rsidR="00746891" w:rsidRPr="00BD042B" w:rsidRDefault="00746891" w:rsidP="00746891">
      <w:pPr>
        <w:jc w:val="both"/>
        <w:rPr>
          <w:sz w:val="24"/>
          <w:szCs w:val="24"/>
        </w:rPr>
      </w:pPr>
      <w:r w:rsidRPr="00BD042B">
        <w:rPr>
          <w:sz w:val="24"/>
          <w:szCs w:val="24"/>
        </w:rPr>
        <w:object w:dxaOrig="5338" w:dyaOrig="1790" w14:anchorId="387F1BA9">
          <v:shape id="_x0000_i1026" type="#_x0000_t75" style="width:83.25pt;height:27.75pt" o:ole="">
            <v:imagedata r:id="rId8" o:title=""/>
          </v:shape>
          <o:OLEObject Type="Embed" ProgID="Equation.3" ShapeID="_x0000_i1026" DrawAspect="Content" ObjectID="_1718284322" r:id="rId9"/>
        </w:object>
      </w:r>
    </w:p>
    <w:p w14:paraId="2A91AD36" w14:textId="77777777" w:rsidR="00746891" w:rsidRPr="00BD042B" w:rsidRDefault="00746891" w:rsidP="00746891">
      <w:pPr>
        <w:jc w:val="both"/>
        <w:rPr>
          <w:sz w:val="24"/>
          <w:szCs w:val="24"/>
        </w:rPr>
      </w:pPr>
      <w:r w:rsidRPr="00BD042B">
        <w:rPr>
          <w:noProof/>
          <w:sz w:val="24"/>
          <w:szCs w:val="24"/>
          <w:lang w:eastAsia="ru-RU"/>
        </w:rPr>
        <w:drawing>
          <wp:inline distT="0" distB="0" distL="0" distR="0" wp14:anchorId="166F2D57" wp14:editId="422B0F56">
            <wp:extent cx="1920262" cy="196850"/>
            <wp:effectExtent l="0" t="0" r="3810" b="0"/>
            <wp:docPr id="6" name="Рисунок 5">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4A39401B-BBAC-4C6E-AF82-275C04C2506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5">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4A39401B-BBAC-4C6E-AF82-275C04C25063}"/>
                        </a:ext>
                      </a:extLst>
                    </pic:cNvPr>
                    <pic:cNvPicPr>
                      <a:picLocks noChangeAspect="1"/>
                    </pic:cNvPicPr>
                  </pic:nvPicPr>
                  <pic:blipFill>
                    <a:blip r:embed="rId10"/>
                    <a:stretch>
                      <a:fillRect/>
                    </a:stretch>
                  </pic:blipFill>
                  <pic:spPr>
                    <a:xfrm>
                      <a:off x="0" y="0"/>
                      <a:ext cx="2079852" cy="213210"/>
                    </a:xfrm>
                    <a:prstGeom prst="rect">
                      <a:avLst/>
                    </a:prstGeom>
                  </pic:spPr>
                </pic:pic>
              </a:graphicData>
            </a:graphic>
          </wp:inline>
        </w:drawing>
      </w:r>
    </w:p>
    <w:p w14:paraId="31AECC1B" w14:textId="77777777" w:rsidR="00746891" w:rsidRPr="00BD042B" w:rsidRDefault="00746891" w:rsidP="00746891">
      <w:pPr>
        <w:jc w:val="both"/>
        <w:rPr>
          <w:sz w:val="24"/>
          <w:szCs w:val="24"/>
        </w:rPr>
      </w:pPr>
    </w:p>
    <w:p w14:paraId="19D8F955" w14:textId="77777777" w:rsidR="00746891" w:rsidRPr="00BD042B" w:rsidRDefault="00746891" w:rsidP="00746891">
      <w:pPr>
        <w:jc w:val="both"/>
        <w:rPr>
          <w:noProof/>
          <w:sz w:val="24"/>
          <w:szCs w:val="24"/>
        </w:rPr>
      </w:pPr>
      <w:r w:rsidRPr="00BD042B">
        <w:rPr>
          <w:noProof/>
          <w:sz w:val="24"/>
          <w:szCs w:val="24"/>
        </w:rPr>
        <w:lastRenderedPageBreak/>
        <w:t xml:space="preserve"> </w:t>
      </w:r>
      <w:r w:rsidRPr="00BD042B">
        <w:rPr>
          <w:noProof/>
          <w:sz w:val="24"/>
          <w:szCs w:val="24"/>
          <w:lang w:eastAsia="ru-RU"/>
        </w:rPr>
        <w:drawing>
          <wp:inline distT="0" distB="0" distL="0" distR="0" wp14:anchorId="08F840F2" wp14:editId="36E02A34">
            <wp:extent cx="5689600" cy="3200284"/>
            <wp:effectExtent l="0" t="0" r="6350" b="63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86906" cy="3255017"/>
                    </a:xfrm>
                    <a:prstGeom prst="rect">
                      <a:avLst/>
                    </a:prstGeom>
                  </pic:spPr>
                </pic:pic>
              </a:graphicData>
            </a:graphic>
          </wp:inline>
        </w:drawing>
      </w:r>
    </w:p>
    <w:p w14:paraId="20FC57C6" w14:textId="76650A51" w:rsidR="00957916" w:rsidRPr="00957916" w:rsidRDefault="00957916" w:rsidP="002E717B">
      <w:pPr>
        <w:rPr>
          <w:lang w:val="kk-KZ"/>
        </w:rPr>
      </w:pPr>
      <w:r>
        <w:rPr>
          <w:lang w:val="kk-KZ"/>
        </w:rPr>
        <w:t>Әдебиет тізімі</w:t>
      </w:r>
    </w:p>
    <w:p w14:paraId="5FCFB09A" w14:textId="77777777" w:rsidR="00957916" w:rsidRPr="00A328CE" w:rsidRDefault="00957916" w:rsidP="00957916">
      <w:pPr>
        <w:pStyle w:val="a3"/>
        <w:numPr>
          <w:ilvl w:val="0"/>
          <w:numId w:val="1"/>
        </w:numPr>
        <w:rPr>
          <w:rFonts w:ascii="Times New Roman" w:hAnsi="Times New Roman" w:cs="Times New Roman"/>
          <w:bCs/>
          <w:color w:val="000000"/>
          <w:sz w:val="20"/>
          <w:szCs w:val="20"/>
          <w:u w:val="single"/>
        </w:rPr>
      </w:pPr>
      <w:bookmarkStart w:id="1" w:name="_Hlk29233688"/>
      <w:r w:rsidRPr="00A328CE">
        <w:rPr>
          <w:rFonts w:ascii="Times New Roman" w:hAnsi="Times New Roman" w:cs="Times New Roman"/>
          <w:sz w:val="20"/>
          <w:szCs w:val="20"/>
        </w:rPr>
        <w:t xml:space="preserve">Харитонов Ю.Я. аналитическая химия (аналитика). В 2-х кн. Кн.2. Количественный анализ. Физико-химические (инструментальные) методы анализа: Учеб. для вузов. – 2-е изд., </w:t>
      </w:r>
      <w:proofErr w:type="spellStart"/>
      <w:proofErr w:type="gramStart"/>
      <w:r w:rsidRPr="00A328CE">
        <w:rPr>
          <w:rFonts w:ascii="Times New Roman" w:hAnsi="Times New Roman" w:cs="Times New Roman"/>
          <w:sz w:val="20"/>
          <w:szCs w:val="20"/>
        </w:rPr>
        <w:t>испр</w:t>
      </w:r>
      <w:proofErr w:type="spellEnd"/>
      <w:r w:rsidRPr="00A328CE">
        <w:rPr>
          <w:rFonts w:ascii="Times New Roman" w:hAnsi="Times New Roman" w:cs="Times New Roman"/>
          <w:sz w:val="20"/>
          <w:szCs w:val="20"/>
        </w:rPr>
        <w:t>.-</w:t>
      </w:r>
      <w:proofErr w:type="gramEnd"/>
      <w:r w:rsidRPr="00A328CE">
        <w:rPr>
          <w:rFonts w:ascii="Times New Roman" w:hAnsi="Times New Roman" w:cs="Times New Roman"/>
          <w:sz w:val="20"/>
          <w:szCs w:val="20"/>
        </w:rPr>
        <w:t xml:space="preserve"> М.: </w:t>
      </w:r>
      <w:proofErr w:type="spellStart"/>
      <w:r w:rsidRPr="00A328CE">
        <w:rPr>
          <w:rFonts w:ascii="Times New Roman" w:hAnsi="Times New Roman" w:cs="Times New Roman"/>
          <w:sz w:val="20"/>
          <w:szCs w:val="20"/>
        </w:rPr>
        <w:t>Высш</w:t>
      </w:r>
      <w:proofErr w:type="spellEnd"/>
      <w:r w:rsidRPr="00A328CE">
        <w:rPr>
          <w:rFonts w:ascii="Times New Roman" w:hAnsi="Times New Roman" w:cs="Times New Roman"/>
          <w:sz w:val="20"/>
          <w:szCs w:val="20"/>
        </w:rPr>
        <w:t xml:space="preserve">. </w:t>
      </w:r>
      <w:proofErr w:type="spellStart"/>
      <w:r w:rsidRPr="00A328CE">
        <w:rPr>
          <w:rFonts w:ascii="Times New Roman" w:hAnsi="Times New Roman" w:cs="Times New Roman"/>
          <w:sz w:val="20"/>
          <w:szCs w:val="20"/>
        </w:rPr>
        <w:t>шк</w:t>
      </w:r>
      <w:proofErr w:type="spellEnd"/>
      <w:r w:rsidRPr="00A328CE">
        <w:rPr>
          <w:rFonts w:ascii="Times New Roman" w:hAnsi="Times New Roman" w:cs="Times New Roman"/>
          <w:sz w:val="20"/>
          <w:szCs w:val="20"/>
        </w:rPr>
        <w:t>., 2003.- 559с.</w:t>
      </w:r>
    </w:p>
    <w:p w14:paraId="3DB6DCD0" w14:textId="77777777" w:rsidR="00957916" w:rsidRPr="00A328CE" w:rsidRDefault="00957916" w:rsidP="00957916">
      <w:pPr>
        <w:pStyle w:val="a3"/>
        <w:numPr>
          <w:ilvl w:val="0"/>
          <w:numId w:val="1"/>
        </w:numPr>
        <w:rPr>
          <w:rFonts w:ascii="Times New Roman" w:hAnsi="Times New Roman" w:cs="Times New Roman"/>
          <w:sz w:val="20"/>
          <w:szCs w:val="20"/>
        </w:rPr>
      </w:pPr>
      <w:proofErr w:type="spellStart"/>
      <w:r w:rsidRPr="00A328CE">
        <w:rPr>
          <w:rFonts w:ascii="Times New Roman" w:hAnsi="Times New Roman" w:cs="Times New Roman"/>
          <w:sz w:val="20"/>
          <w:szCs w:val="20"/>
        </w:rPr>
        <w:t>Жебентяев</w:t>
      </w:r>
      <w:proofErr w:type="spellEnd"/>
      <w:r w:rsidRPr="00A328CE">
        <w:rPr>
          <w:rFonts w:ascii="Times New Roman" w:hAnsi="Times New Roman" w:cs="Times New Roman"/>
          <w:sz w:val="20"/>
          <w:szCs w:val="20"/>
        </w:rPr>
        <w:t xml:space="preserve"> А.И., Жерносек А.К., </w:t>
      </w:r>
      <w:proofErr w:type="spellStart"/>
      <w:r w:rsidRPr="00A328CE">
        <w:rPr>
          <w:rFonts w:ascii="Times New Roman" w:hAnsi="Times New Roman" w:cs="Times New Roman"/>
          <w:sz w:val="20"/>
          <w:szCs w:val="20"/>
        </w:rPr>
        <w:t>Талуть</w:t>
      </w:r>
      <w:proofErr w:type="spellEnd"/>
      <w:r w:rsidRPr="00A328CE">
        <w:rPr>
          <w:rFonts w:ascii="Times New Roman" w:hAnsi="Times New Roman" w:cs="Times New Roman"/>
          <w:sz w:val="20"/>
          <w:szCs w:val="20"/>
        </w:rPr>
        <w:t xml:space="preserve"> И.Е. Аналитическая химия. Химические методы анализа: учеб. пособие. - Минск; М.: Новое знание, 2011. - 541.</w:t>
      </w:r>
    </w:p>
    <w:p w14:paraId="2B41DB60" w14:textId="4B9EA67B" w:rsidR="00957916" w:rsidRPr="00A328CE" w:rsidRDefault="00957916" w:rsidP="00957916">
      <w:pPr>
        <w:pStyle w:val="a3"/>
        <w:numPr>
          <w:ilvl w:val="0"/>
          <w:numId w:val="1"/>
        </w:numPr>
        <w:rPr>
          <w:rFonts w:ascii="Times New Roman" w:hAnsi="Times New Roman" w:cs="Times New Roman"/>
          <w:bCs/>
          <w:sz w:val="20"/>
          <w:szCs w:val="20"/>
          <w:lang w:val="kk-KZ"/>
        </w:rPr>
      </w:pPr>
      <w:r w:rsidRPr="00A328CE">
        <w:rPr>
          <w:rFonts w:ascii="Times New Roman" w:hAnsi="Times New Roman" w:cs="Times New Roman"/>
          <w:bCs/>
          <w:sz w:val="20"/>
          <w:szCs w:val="20"/>
        </w:rPr>
        <w:t xml:space="preserve">Бадавамова Г.Л., Минажева Г.С. </w:t>
      </w:r>
      <w:proofErr w:type="spellStart"/>
      <w:r w:rsidRPr="00A328CE">
        <w:rPr>
          <w:rFonts w:ascii="Times New Roman" w:hAnsi="Times New Roman" w:cs="Times New Roman"/>
          <w:bCs/>
          <w:sz w:val="20"/>
          <w:szCs w:val="20"/>
        </w:rPr>
        <w:t>Аналитикалық</w:t>
      </w:r>
      <w:proofErr w:type="spellEnd"/>
      <w:r w:rsidRPr="00A328CE">
        <w:rPr>
          <w:rFonts w:ascii="Times New Roman" w:hAnsi="Times New Roman" w:cs="Times New Roman"/>
          <w:bCs/>
          <w:sz w:val="20"/>
          <w:szCs w:val="20"/>
        </w:rPr>
        <w:t xml:space="preserve"> химия, </w:t>
      </w:r>
      <w:proofErr w:type="spellStart"/>
      <w:r w:rsidRPr="00A328CE">
        <w:rPr>
          <w:rFonts w:ascii="Times New Roman" w:hAnsi="Times New Roman" w:cs="Times New Roman"/>
          <w:bCs/>
          <w:sz w:val="20"/>
          <w:szCs w:val="20"/>
        </w:rPr>
        <w:t>Оқулық</w:t>
      </w:r>
      <w:proofErr w:type="spellEnd"/>
      <w:r w:rsidRPr="00A328CE">
        <w:rPr>
          <w:rFonts w:ascii="Times New Roman" w:hAnsi="Times New Roman" w:cs="Times New Roman"/>
          <w:bCs/>
          <w:sz w:val="20"/>
          <w:szCs w:val="20"/>
        </w:rPr>
        <w:t xml:space="preserve"> Алматы, Экономика. 2011.- 474 б.</w:t>
      </w:r>
    </w:p>
    <w:p w14:paraId="1889B41D" w14:textId="2065A9A2" w:rsidR="00957916" w:rsidRPr="00A328CE" w:rsidRDefault="00957916" w:rsidP="00957916">
      <w:pPr>
        <w:pStyle w:val="a3"/>
        <w:numPr>
          <w:ilvl w:val="0"/>
          <w:numId w:val="1"/>
        </w:numPr>
        <w:rPr>
          <w:rFonts w:ascii="Times New Roman" w:hAnsi="Times New Roman"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spellStart"/>
      <w:r w:rsidRPr="00A328CE">
        <w:rPr>
          <w:rFonts w:ascii="Times New Roman" w:hAnsi="Times New Roman" w:cs="Times New Roman"/>
          <w:sz w:val="20"/>
          <w:szCs w:val="20"/>
        </w:rPr>
        <w:t>Мендалиева</w:t>
      </w:r>
      <w:proofErr w:type="spellEnd"/>
      <w:r w:rsidRPr="00A328CE">
        <w:rPr>
          <w:rFonts w:ascii="Times New Roman" w:hAnsi="Times New Roman" w:cs="Times New Roman"/>
          <w:sz w:val="20"/>
          <w:szCs w:val="20"/>
        </w:rPr>
        <w:t xml:space="preserve"> Д.К. </w:t>
      </w:r>
      <w:proofErr w:type="spellStart"/>
      <w:r w:rsidRPr="00A328CE">
        <w:rPr>
          <w:rFonts w:ascii="Times New Roman" w:hAnsi="Times New Roman" w:cs="Times New Roman"/>
          <w:sz w:val="20"/>
          <w:szCs w:val="20"/>
        </w:rPr>
        <w:t>Аналитикалық</w:t>
      </w:r>
      <w:proofErr w:type="spellEnd"/>
      <w:r w:rsidRPr="00A328CE">
        <w:rPr>
          <w:rFonts w:ascii="Times New Roman" w:hAnsi="Times New Roman" w:cs="Times New Roman"/>
          <w:sz w:val="20"/>
          <w:szCs w:val="20"/>
        </w:rPr>
        <w:t xml:space="preserve"> </w:t>
      </w:r>
      <w:proofErr w:type="spellStart"/>
      <w:r w:rsidRPr="00A328CE">
        <w:rPr>
          <w:rFonts w:ascii="Times New Roman" w:hAnsi="Times New Roman" w:cs="Times New Roman"/>
          <w:sz w:val="20"/>
          <w:szCs w:val="20"/>
        </w:rPr>
        <w:t>химиядан</w:t>
      </w:r>
      <w:proofErr w:type="spellEnd"/>
      <w:r w:rsidRPr="00A328CE">
        <w:rPr>
          <w:rFonts w:ascii="Times New Roman" w:hAnsi="Times New Roman" w:cs="Times New Roman"/>
          <w:sz w:val="20"/>
          <w:szCs w:val="20"/>
        </w:rPr>
        <w:t xml:space="preserve"> </w:t>
      </w:r>
      <w:proofErr w:type="spellStart"/>
      <w:r w:rsidRPr="00A328CE">
        <w:rPr>
          <w:rFonts w:ascii="Times New Roman" w:hAnsi="Times New Roman" w:cs="Times New Roman"/>
          <w:sz w:val="20"/>
          <w:szCs w:val="20"/>
        </w:rPr>
        <w:t>есептер</w:t>
      </w:r>
      <w:proofErr w:type="spellEnd"/>
      <w:r w:rsidRPr="00A328CE">
        <w:rPr>
          <w:rFonts w:ascii="Times New Roman" w:hAnsi="Times New Roman" w:cs="Times New Roman"/>
          <w:sz w:val="20"/>
          <w:szCs w:val="20"/>
        </w:rPr>
        <w:t xml:space="preserve"> мен </w:t>
      </w:r>
      <w:proofErr w:type="spellStart"/>
      <w:r w:rsidRPr="00A328CE">
        <w:rPr>
          <w:rFonts w:ascii="Times New Roman" w:hAnsi="Times New Roman" w:cs="Times New Roman"/>
          <w:sz w:val="20"/>
          <w:szCs w:val="20"/>
        </w:rPr>
        <w:t>жаттығулар</w:t>
      </w:r>
      <w:proofErr w:type="spellEnd"/>
      <w:r w:rsidRPr="00A328CE">
        <w:rPr>
          <w:rFonts w:ascii="Times New Roman" w:hAnsi="Times New Roman" w:cs="Times New Roman"/>
          <w:sz w:val="20"/>
          <w:szCs w:val="20"/>
        </w:rPr>
        <w:t xml:space="preserve"> </w:t>
      </w:r>
      <w:proofErr w:type="spellStart"/>
      <w:r w:rsidRPr="00A328CE">
        <w:rPr>
          <w:rFonts w:ascii="Times New Roman" w:hAnsi="Times New Roman" w:cs="Times New Roman"/>
          <w:sz w:val="20"/>
          <w:szCs w:val="20"/>
        </w:rPr>
        <w:t>жинағы</w:t>
      </w:r>
      <w:proofErr w:type="spellEnd"/>
      <w:r w:rsidRPr="00A328CE">
        <w:rPr>
          <w:rFonts w:ascii="Times New Roman" w:hAnsi="Times New Roman" w:cs="Times New Roman"/>
          <w:sz w:val="20"/>
          <w:szCs w:val="20"/>
        </w:rPr>
        <w:t>. Алматы, 2003, 217 б.</w:t>
      </w:r>
      <w:r w:rsidRPr="00A328CE">
        <w:rPr>
          <w:rFonts w:ascii="Times New Roman" w:hAnsi="Times New Roman" w:cs="Times New Roman"/>
          <w:sz w:val="20"/>
          <w:szCs w:val="20"/>
          <w:lang w:val="kk-KZ"/>
        </w:rPr>
        <w:t xml:space="preserve"> </w:t>
      </w:r>
    </w:p>
    <w:p w14:paraId="75CF85E3" w14:textId="7729635F" w:rsidR="00957916" w:rsidRPr="00A328CE" w:rsidRDefault="00957916" w:rsidP="00957916">
      <w:pPr>
        <w:pStyle w:val="a3"/>
        <w:numPr>
          <w:ilvl w:val="0"/>
          <w:numId w:val="1"/>
        </w:numPr>
        <w:rPr>
          <w:rFonts w:ascii="Times New Roman" w:hAnsi="Times New Roman" w:cs="Times New Roman"/>
          <w:sz w:val="20"/>
          <w:szCs w:val="20"/>
        </w:rPr>
      </w:pPr>
      <w:r w:rsidRPr="00A328CE">
        <w:rPr>
          <w:rFonts w:ascii="Times New Roman" w:hAnsi="Times New Roman" w:cs="Times New Roman"/>
          <w:sz w:val="20"/>
          <w:szCs w:val="20"/>
        </w:rPr>
        <w:t xml:space="preserve">Исмаилова А.Г., Злобина Е.В., Долгова Н.Д. Методические указания и задания лабораторных работ по аналитической химии. Алматы: </w:t>
      </w:r>
      <w:proofErr w:type="spellStart"/>
      <w:r w:rsidRPr="00A328CE">
        <w:rPr>
          <w:rFonts w:ascii="Times New Roman" w:hAnsi="Times New Roman" w:cs="Times New Roman"/>
          <w:sz w:val="20"/>
          <w:szCs w:val="20"/>
        </w:rPr>
        <w:t>Каз</w:t>
      </w:r>
      <w:proofErr w:type="spellEnd"/>
      <w:r w:rsidRPr="00A328CE">
        <w:rPr>
          <w:rFonts w:ascii="Times New Roman" w:hAnsi="Times New Roman" w:cs="Times New Roman"/>
          <w:sz w:val="20"/>
          <w:szCs w:val="20"/>
        </w:rPr>
        <w:t xml:space="preserve"> университет, 2012. – 102 с.</w:t>
      </w:r>
    </w:p>
    <w:p w14:paraId="35504F00" w14:textId="77777777" w:rsidR="00957916" w:rsidRPr="00BC1CD0" w:rsidRDefault="00957916" w:rsidP="00957916">
      <w:pPr>
        <w:pStyle w:val="a3"/>
        <w:numPr>
          <w:ilvl w:val="0"/>
          <w:numId w:val="1"/>
        </w:numPr>
        <w:rPr>
          <w:rFonts w:ascii="Times New Roman" w:hAnsi="Times New Roman" w:cs="Times New Roman"/>
          <w:sz w:val="20"/>
          <w:szCs w:val="20"/>
          <w:lang w:val="kk-KZ"/>
        </w:rPr>
      </w:pPr>
      <w:r w:rsidRPr="00A328CE">
        <w:rPr>
          <w:rFonts w:ascii="Times New Roman" w:hAnsi="Times New Roman" w:cs="Times New Roman"/>
          <w:sz w:val="20"/>
          <w:szCs w:val="20"/>
        </w:rPr>
        <w:t xml:space="preserve">Аргимбаева А.М. </w:t>
      </w:r>
      <w:proofErr w:type="spellStart"/>
      <w:r w:rsidRPr="00A328CE">
        <w:rPr>
          <w:rFonts w:ascii="Times New Roman" w:hAnsi="Times New Roman" w:cs="Times New Roman"/>
          <w:sz w:val="20"/>
          <w:szCs w:val="20"/>
        </w:rPr>
        <w:t>Талдауды</w:t>
      </w:r>
      <w:proofErr w:type="spellEnd"/>
      <w:r w:rsidRPr="00A328CE">
        <w:rPr>
          <w:rFonts w:ascii="Times New Roman" w:hAnsi="Times New Roman" w:cs="Times New Roman"/>
          <w:sz w:val="20"/>
          <w:szCs w:val="20"/>
          <w:lang w:val="kk-KZ"/>
        </w:rPr>
        <w:t xml:space="preserve">ң физика-химиялық әдістері. Алматы, Қазақ университеті, </w:t>
      </w:r>
      <w:r w:rsidRPr="00BC1CD0">
        <w:rPr>
          <w:rFonts w:ascii="Times New Roman" w:hAnsi="Times New Roman" w:cs="Times New Roman"/>
          <w:sz w:val="20"/>
          <w:szCs w:val="20"/>
          <w:lang w:val="kk-KZ"/>
        </w:rPr>
        <w:t>2018, 202 б.</w:t>
      </w:r>
    </w:p>
    <w:bookmarkEnd w:id="1"/>
    <w:p w14:paraId="35B1753B" w14:textId="77777777" w:rsidR="002E717B" w:rsidRPr="002E717B" w:rsidRDefault="002E717B">
      <w:pPr>
        <w:rPr>
          <w:lang w:val="en-US"/>
        </w:rPr>
      </w:pPr>
    </w:p>
    <w:sectPr w:rsidR="002E717B" w:rsidRPr="002E717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493376"/>
    <w:multiLevelType w:val="hybridMultilevel"/>
    <w:tmpl w:val="FE48C1F0"/>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680E"/>
    <w:rsid w:val="000D49EA"/>
    <w:rsid w:val="002279F1"/>
    <w:rsid w:val="002E717B"/>
    <w:rsid w:val="007038E6"/>
    <w:rsid w:val="00746891"/>
    <w:rsid w:val="00957916"/>
    <w:rsid w:val="00DC07B8"/>
    <w:rsid w:val="00EE68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5F0EB"/>
  <w15:chartTrackingRefBased/>
  <w15:docId w15:val="{52C23FB4-6614-4FF9-B230-0723D11B0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E680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oleObject" Target="embeddings/oleObject1.bin"/><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image" Target="media/image5.png"/><Relationship Id="rId5" Type="http://schemas.openxmlformats.org/officeDocument/2006/relationships/image" Target="media/image1.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oleObject" Target="embeddings/oleObject2.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396</Words>
  <Characters>2259</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Аргимбаева Акмарал</dc:creator>
  <cp:keywords/>
  <dc:description/>
  <cp:lastModifiedBy>Кудреева Лейла</cp:lastModifiedBy>
  <cp:revision>2</cp:revision>
  <dcterms:created xsi:type="dcterms:W3CDTF">2022-07-02T10:26:00Z</dcterms:created>
  <dcterms:modified xsi:type="dcterms:W3CDTF">2022-07-02T10:26:00Z</dcterms:modified>
</cp:coreProperties>
</file>